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20" w:type="dxa"/>
        <w:tblCellMar>
          <w:left w:w="0" w:type="dxa"/>
          <w:right w:w="0" w:type="dxa"/>
        </w:tblCellMar>
        <w:tblLook w:val="04A0"/>
      </w:tblPr>
      <w:tblGrid>
        <w:gridCol w:w="6317"/>
        <w:gridCol w:w="285"/>
      </w:tblGrid>
      <w:tr w:rsidR="004736A0" w:rsidRPr="004736A0" w:rsidTr="004736A0">
        <w:trPr>
          <w:tblCellSpacing w:w="15" w:type="dxa"/>
        </w:trPr>
        <w:tc>
          <w:tcPr>
            <w:tcW w:w="5000" w:type="pct"/>
            <w:vAlign w:val="center"/>
            <w:hideMark/>
          </w:tcPr>
          <w:p w:rsidR="004736A0" w:rsidRPr="004736A0" w:rsidRDefault="004736A0" w:rsidP="004736A0">
            <w:pPr>
              <w:spacing w:before="30" w:after="30" w:line="312" w:lineRule="atLeast"/>
              <w:rPr>
                <w:rFonts w:ascii="Tahoma" w:eastAsia="Times New Roman" w:hAnsi="Tahoma" w:cs="Tahoma"/>
                <w:b/>
                <w:bCs/>
                <w:color w:val="333333"/>
                <w:sz w:val="18"/>
                <w:szCs w:val="18"/>
              </w:rPr>
            </w:pPr>
            <w:r w:rsidRPr="004736A0">
              <w:rPr>
                <w:rFonts w:ascii="Tahoma" w:eastAsia="Times New Roman" w:hAnsi="Tahoma" w:cs="Tahoma"/>
                <w:b/>
                <w:bCs/>
                <w:color w:val="333333"/>
                <w:sz w:val="18"/>
                <w:szCs w:val="18"/>
              </w:rPr>
              <w:t xml:space="preserve">Matematikos negalių požymiai, rekomenduojami darbo būdai ir metodai </w:t>
            </w:r>
          </w:p>
        </w:tc>
        <w:tc>
          <w:tcPr>
            <w:tcW w:w="5000" w:type="pct"/>
            <w:vAlign w:val="center"/>
            <w:hideMark/>
          </w:tcPr>
          <w:p w:rsidR="004736A0" w:rsidRPr="004736A0" w:rsidRDefault="004736A0" w:rsidP="004736A0">
            <w:pPr>
              <w:spacing w:before="30" w:after="30" w:line="312" w:lineRule="atLeast"/>
              <w:jc w:val="right"/>
              <w:rPr>
                <w:rFonts w:ascii="Tahoma" w:eastAsia="Times New Roman" w:hAnsi="Tahoma" w:cs="Tahoma"/>
                <w:color w:val="444444"/>
                <w:sz w:val="18"/>
                <w:szCs w:val="18"/>
              </w:rPr>
            </w:pPr>
            <w:r>
              <w:rPr>
                <w:rFonts w:ascii="Tahoma" w:eastAsia="Times New Roman" w:hAnsi="Tahoma" w:cs="Tahoma"/>
                <w:noProof/>
                <w:color w:val="829300"/>
                <w:sz w:val="18"/>
                <w:szCs w:val="18"/>
                <w:lang w:val="lt-LT" w:eastAsia="lt-LT"/>
              </w:rPr>
              <w:drawing>
                <wp:inline distT="0" distB="0" distL="0" distR="0">
                  <wp:extent cx="152400" cy="152400"/>
                  <wp:effectExtent l="0" t="0" r="0" b="0"/>
                  <wp:docPr id="1" name="Paveikslėlis 1" descr="Spausdinti">
                    <a:hlinkClick xmlns:a="http://schemas.openxmlformats.org/drawingml/2006/main" r:id="rId4" tooltip="&quot;Spausdi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usdinti">
                            <a:hlinkClick r:id="rId4" tooltip="&quot;Spausdinti&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4736A0" w:rsidRPr="004736A0" w:rsidRDefault="004736A0" w:rsidP="004736A0">
      <w:pPr>
        <w:shd w:val="clear" w:color="auto" w:fill="FFFFFF"/>
        <w:spacing w:after="90" w:line="312" w:lineRule="atLeast"/>
        <w:rPr>
          <w:rFonts w:ascii="Tahoma" w:eastAsia="Times New Roman" w:hAnsi="Tahoma" w:cs="Tahoma"/>
          <w:vanish/>
          <w:color w:val="444444"/>
          <w:sz w:val="18"/>
          <w:szCs w:val="18"/>
          <w:lang w:val="lt-LT"/>
        </w:rPr>
      </w:pPr>
    </w:p>
    <w:tbl>
      <w:tblPr>
        <w:tblW w:w="0" w:type="auto"/>
        <w:tblCellSpacing w:w="15" w:type="dxa"/>
        <w:tblInd w:w="120" w:type="dxa"/>
        <w:tblCellMar>
          <w:left w:w="0" w:type="dxa"/>
          <w:right w:w="0" w:type="dxa"/>
        </w:tblCellMar>
        <w:tblLook w:val="04A0"/>
      </w:tblPr>
      <w:tblGrid>
        <w:gridCol w:w="9300"/>
      </w:tblGrid>
      <w:tr w:rsidR="004736A0" w:rsidRPr="004736A0" w:rsidTr="004736A0">
        <w:trPr>
          <w:trHeight w:val="300"/>
          <w:tblCellSpacing w:w="15" w:type="dxa"/>
        </w:trPr>
        <w:tc>
          <w:tcPr>
            <w:tcW w:w="0" w:type="auto"/>
            <w:hideMark/>
          </w:tcPr>
          <w:p w:rsidR="004736A0" w:rsidRPr="004736A0" w:rsidRDefault="004736A0" w:rsidP="004736A0">
            <w:pPr>
              <w:spacing w:before="30" w:after="30" w:line="312" w:lineRule="atLeast"/>
              <w:rPr>
                <w:rFonts w:ascii="Tahoma" w:eastAsia="Times New Roman" w:hAnsi="Tahoma" w:cs="Tahoma"/>
                <w:color w:val="C0C0C0"/>
                <w:sz w:val="15"/>
                <w:szCs w:val="15"/>
              </w:rPr>
            </w:pPr>
            <w:r w:rsidRPr="004736A0">
              <w:rPr>
                <w:rFonts w:ascii="Tahoma" w:eastAsia="Times New Roman" w:hAnsi="Tahoma" w:cs="Tahoma"/>
                <w:color w:val="C0C0C0"/>
                <w:sz w:val="15"/>
                <w:szCs w:val="15"/>
              </w:rPr>
              <w:t xml:space="preserve">Penktadienis, 13 Gegužė 2011 07:56 </w:t>
            </w:r>
          </w:p>
        </w:tc>
      </w:tr>
      <w:tr w:rsidR="004736A0" w:rsidRPr="004736A0" w:rsidTr="004736A0">
        <w:trPr>
          <w:tblCellSpacing w:w="15" w:type="dxa"/>
        </w:trPr>
        <w:tc>
          <w:tcPr>
            <w:tcW w:w="0" w:type="auto"/>
            <w:hideMark/>
          </w:tcPr>
          <w:p w:rsidR="004736A0" w:rsidRPr="004736A0" w:rsidRDefault="004736A0" w:rsidP="004736A0">
            <w:pPr>
              <w:spacing w:after="75" w:line="312" w:lineRule="atLeast"/>
              <w:jc w:val="both"/>
              <w:rPr>
                <w:rFonts w:ascii="Tahoma" w:eastAsia="Times New Roman" w:hAnsi="Tahoma" w:cs="Tahoma"/>
                <w:color w:val="444444"/>
                <w:sz w:val="18"/>
                <w:szCs w:val="18"/>
              </w:rPr>
            </w:pP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w:t>
            </w:r>
            <w:r w:rsidRPr="004736A0">
              <w:rPr>
                <w:rFonts w:ascii="Tahoma" w:eastAsia="Times New Roman" w:hAnsi="Tahoma" w:cs="Tahoma"/>
                <w:color w:val="444444"/>
                <w:sz w:val="18"/>
                <w:szCs w:val="18"/>
              </w:rPr>
              <w:t>     Didžiausią specialiųjų poreikių moksleivių, besimokančių bendrojo lavinimo mokykloje, dalį sudaro įvairias mokymosi negalias turintys moksleiviai.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Mokytojams dažnai kyla daug klausimų:</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„Kaip pažinti specialiųjų poreikių mokinius?, „Kaip jiems padėti?, „Kaip mokyti mokymosi negalių turintį moksleivį?.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Pateiktose lentelėse išskiriamos pagrindinės, dažniausiai pasitaikančios negalių grupes, ugdymo(si) sunkumų turinčių moksleivių apibūdinimas bei rekomenduojami darbo būdai ir metodai. Skirtingus pažinimo procesu sutrikimus turintys moksleiviai patiria įvairius matematikos mokymosi sunkumus ir jiems įveikti reikalingi atitinkami darbo būdai.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Šaltinis: R.Kibildienė  „Specialiųjų ugdymo (-si) poreikių mokinių matematikos mokymo ypatumai” , 2009 metai Vilnius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MOKSLEIVIAI, TURINTYS GIRDIMOJO SUVOKIMO IR LINGVISTINIŲ SUTRIKIMŲ</w:t>
            </w:r>
          </w:p>
          <w:tbl>
            <w:tblPr>
              <w:tblW w:w="0" w:type="auto"/>
              <w:tblCellSpacing w:w="0" w:type="dxa"/>
              <w:tblCellMar>
                <w:left w:w="0" w:type="dxa"/>
                <w:right w:w="0" w:type="dxa"/>
              </w:tblCellMar>
              <w:tblLook w:val="04A0"/>
            </w:tblPr>
            <w:tblGrid>
              <w:gridCol w:w="4260"/>
              <w:gridCol w:w="4260"/>
            </w:tblGrid>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Apibūdinimas </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Rekomenduojami būdai ir metodai darbui su mokiniais </w:t>
                  </w:r>
                </w:p>
              </w:tc>
            </w:tr>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•Pažįsta skaitmenis, žino skaičių seką, skaičių kaimynus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•Palygina skaičius, pasako praleistą skaitmenį skaičių eilėje</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•Gerai atlieka aritmetinius veiksmus •Supranta užduotis su diagramomis, grafikais, schemomis, naudojasi simboliais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•Nesupranta arba netiksliai supranta žodžiu pateikiamas instrukcijas, užduotis, nurodymus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•Neprisimena, nesupranta matematinių sąvokų, sunkiai suvokia matematinius dėsningumus, ryšius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xml:space="preserve">• Nesupranta tekstinių uždavinių, nesuvokia duotųjų ir ieškomųjų dydžių, žodžiu pateikiamų santykių, </w:t>
                  </w:r>
                  <w:r w:rsidRPr="004736A0">
                    <w:rPr>
                      <w:rFonts w:ascii="Tahoma" w:eastAsia="Times New Roman" w:hAnsi="Tahoma" w:cs="Tahoma"/>
                      <w:color w:val="444444"/>
                      <w:sz w:val="18"/>
                      <w:szCs w:val="18"/>
                    </w:rPr>
                    <w:lastRenderedPageBreak/>
                    <w:t>nesupranta keliamų klausimų</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•Painioja arba neprisimena geometrinių figūrų pavadinimų.</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•Stenkitės kuo daugiau informacijos pateikti vaizdžiai (uždavinio sąlygą iliustruokite piešiniu, grafiškai, schemomis ir kt.).</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•Užduotis, nurodymus, instrukcijas pateikite raštu.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•Jei būtina žodinė informacija, kalbėkite lėtai, aiškiai, trumpais sakiniais.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•Mokykite „matematinės kalbos―, veskite matematinių sąvokų (daliklis, nelygybė, trupmena ir kt.) su paaiškinimais ir pavyzdžiais.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•Leiskite naudotis sąvokų paaiškinimais, formulių rinkiniais su uždavinio sprendimo schemomis ir pan.</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Skirkite daugiau laiko rašto darbams, darbui su vaizdine medžiaga.</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•Ribokite abstrakčios informacijos įsiminimą.</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•Remkitės gyvenimiškais, realiais pavyzdžiais ir mokinio patirtimi. •Mažinkite užduočių kiekį, daugiau laiko skirkite sunkesnių temų įtvirtinimui.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•Prieš kontrolinį darbą peržvelkite užduotis ir išsiaiškinkite nesuprantamus žodžius.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 Akcentuokite moksleivio pasiekimus, pastangas, o ne trūkumus.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tc>
            </w:tr>
          </w:tbl>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Šaltinis: R.Kibildienė  „Specialiųjų ugdymo (-si) poreikių mokinių matematikos mokymo ypatumai” , 2009 metai Vilnius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MOKSLEIVIAI, TURINTYS REGIMOJO SUVOKIMO SUTRIKIMŲ</w:t>
            </w:r>
          </w:p>
          <w:tbl>
            <w:tblPr>
              <w:tblW w:w="0" w:type="auto"/>
              <w:tblCellSpacing w:w="0" w:type="dxa"/>
              <w:tblCellMar>
                <w:left w:w="0" w:type="dxa"/>
                <w:right w:w="0" w:type="dxa"/>
              </w:tblCellMar>
              <w:tblLook w:val="04A0"/>
            </w:tblPr>
            <w:tblGrid>
              <w:gridCol w:w="4260"/>
              <w:gridCol w:w="4260"/>
            </w:tblGrid>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Apibūdinimas </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Rekomenduojami būdai ir metodai darbui su mokiniais </w:t>
                  </w:r>
                </w:p>
              </w:tc>
            </w:tr>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•Nurodymus, instrukcijas, užduotis supranta gerai, bet greitai pamiršta ir gali atlikti neteisingai, jei nebus pakartota</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•Sunkiai įsimena bet kokią informaciją (skaitmenų formą, sekas, ypač mažėjimo tvarka), išmokę greitai pamiršta, reikia dažnai kartoti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•Ilgai neįsitvirtina matematiniai veiksmai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•Sunkiai skaičiuoja mintinai, ypač keliaveiksmes užduotis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•Daugybos lentelę mokosi labai ilgai, turi nuolat pasikartoti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•Sunkiai suvokia tekstinio uždavinio sąlygą, kai reikia spręsti mintyse</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•Turi sunkumų įsimindami formules (gali jose painioti simbolius ar ženklus), apibrėžimus ar dėsnius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•Mokydamiesi geometrijos sunkiai įsimena lygybės, lygiagretumo ir kitų požymių įrodymus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•Naujai išmoktą medžiagą sunkiai sieja su ankstesne patirtimi, nes prastai prisimena</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•Iki minimumo sumažinkite mechaniškai įsimenamos informacijos kiekį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•Neperkraukite nauja informacija, žinias pateikite nuosekliai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•Stebėkite mokinius ir dažnai priminkite užduočių atlikimo nuoseklumą</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•Leiskite naudotis mokymuisi būtiniausia informacija bei priemonėmis: daugybos lentele, formulių rinkiniais, matų lentelėmis, sąsiuviniais, vadovėliais, skaičiuotuvais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•Skatinkite pasižymėti esminę informaciją, kai užduotis atliekate žodžiu, mokykite susidaryti schemas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•Mokykite įsiminimo strategijų (ieškant ryšio su artima aplinka, gerai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faktais, panašių žodžių atitikmenimis) •Mokykite pasiruošti užuominų atmintines ir leiskite jomis naudotis pamokų metu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•Padėkite naują informaciją susieti su jau turimu patyrimu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•Mokykite skaidyti įsimenamą informaciją dalimis (pvz. 226418, 22 64 18)</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•Skatinkite klausti, pasitikslinti, paprašyti pagalbos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•Tikrindami žinias pasirinkite užduotis, atskleidžiančias moksleivio nuovokumą, gebėjimą mąstyti, naudotis informacija, daryti išvadas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xml:space="preserve">•Palaikykite ir skatinkite norą mokytis bei </w:t>
                  </w:r>
                  <w:r w:rsidRPr="004736A0">
                    <w:rPr>
                      <w:rFonts w:ascii="Tahoma" w:eastAsia="Times New Roman" w:hAnsi="Tahoma" w:cs="Tahoma"/>
                      <w:color w:val="444444"/>
                      <w:sz w:val="18"/>
                      <w:szCs w:val="18"/>
                    </w:rPr>
                    <w:lastRenderedPageBreak/>
                    <w:t>neakcentuokite moksleivio</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atminties problemų.</w:t>
                  </w:r>
                </w:p>
              </w:tc>
            </w:tr>
          </w:tbl>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  Šaltinis: R.Kibildienė  „Specialiųjų ugdymo (-si) poreikių mokinių matematikos mokymo ypatumai” , 2009 metai Vilnius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MOKSLEIVIAI, TURINTYS SKIRTINGO MODALUMO SUVOKIMŲ TARPUSAVIO KOORDINACIJOS (AUDIOVIZUALINIŲ) SUTRIKIMŲ</w:t>
            </w:r>
          </w:p>
          <w:tbl>
            <w:tblPr>
              <w:tblW w:w="0" w:type="auto"/>
              <w:tblCellSpacing w:w="0" w:type="dxa"/>
              <w:tblCellMar>
                <w:left w:w="0" w:type="dxa"/>
                <w:right w:w="0" w:type="dxa"/>
              </w:tblCellMar>
              <w:tblLook w:val="04A0"/>
            </w:tblPr>
            <w:tblGrid>
              <w:gridCol w:w="4260"/>
              <w:gridCol w:w="4260"/>
            </w:tblGrid>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Apibūdinimas </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Rekomenduojami būdai ir metodai darbui su mokiniais </w:t>
                  </w:r>
                </w:p>
              </w:tc>
            </w:tr>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•Supranta žodinę informaciją ir instrukcijas, kurias reikia atlikti žodžiu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•Gerai atlieka užduotis pagal duotą pavyzdį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•Ilgai negali suvokti tikrosios skaitmenų prasmės, sunkiai formuojasi skaitmens sąvoka</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•Žodžiu skaičiuoja lengviau, nei naudodamiesi skaitmenimis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•Išanalizavę diagramą, skalę ar kitą vaizdinę medžiagą, negali atsakyti į klausimus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•Pagal žodinę instrukciją, sunkiai atlieka užduotis su vaizdine medžiaga</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•Sunkiai užrašo diktuojamą sąlygą, todėl neteisingai sprendžia uždavinį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•Sunkiai suvokia raštu pateiktų tekstinių uždavinių esmę, paveikslėlius žodiniams uždaviniams sudaryti, tačiau žodžiu pateiktus uždavinius gali suprasti ir spręsti lengvai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Gali suvokti trupmenas, procentus, proporcijas, geometrinių figūrų, objektų savybes, ryšius ir kita</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Sunkiai įvardina geometrinių figūrų dydį, lygybes, proporcingumą, formuluoja įrodymus žodžiu, jei reikia remtis geometrine medžiaga</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•Mokydami skaitmenų, geometrinių figūrų naudokite multisensorinius būdus (lipdyti, lankstyti, piešti ore skaitmenis ir tuo pačiu metu sakyti jų pavadinimus)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•Susisteminkite mokomąją medžiagą taip, kad moksleivis ją įsisavintų atskiromis dalimis: vaizdu ir žodžiu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•Spręsdami uždavinius raštu, komentuokite atliekamus veiksmus, atlikimo eigą bei prašykite moksleivio verbalizuoti atliekamas užduotis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•Suteikite galimybę moksleiviui žodžiu išgirsti tekstinio uždavinio sąlygą</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•Atlikę tą pačią užduotį keliais būdais, mokykite pasirinkti tinkamą veiklos strategiją</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•Pateikite praktinio pobūdžio užduočių bei pavyzdžių</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•Skatinkite klausti, pasitikslinti, paprašyti pagalbos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•Girkite moksleivį už pastangas, nuolat akcentuokite jo sėkmę</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tc>
            </w:tr>
          </w:tbl>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Šaltinis: R.Kibildienė  „Specialiųjų ugdymo (-si) poreikių mokinių matematikos mokymo ypatumai” , 2009 metai Vilnius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MOKSLEIVIAI, TURINTYS SAVIREGULIACIJOS SUTRIKIMŲ</w:t>
            </w:r>
          </w:p>
          <w:tbl>
            <w:tblPr>
              <w:tblW w:w="0" w:type="auto"/>
              <w:tblCellSpacing w:w="0" w:type="dxa"/>
              <w:tblCellMar>
                <w:left w:w="0" w:type="dxa"/>
                <w:right w:w="0" w:type="dxa"/>
              </w:tblCellMar>
              <w:tblLook w:val="04A0"/>
            </w:tblPr>
            <w:tblGrid>
              <w:gridCol w:w="4260"/>
              <w:gridCol w:w="4260"/>
            </w:tblGrid>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Apibūdinimas </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b/>
                      <w:bCs/>
                      <w:color w:val="444444"/>
                      <w:sz w:val="18"/>
                    </w:rPr>
                    <w:t xml:space="preserve">Rekomenduojami būdai ir metodai darbui su mokiniais </w:t>
                  </w:r>
                </w:p>
              </w:tc>
            </w:tr>
            <w:tr w:rsidR="004736A0" w:rsidRPr="004736A0">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xml:space="preserve">•Supranta užduotis ir instrukcijas pateikiamas žodžiu </w:t>
                  </w:r>
                  <w:r w:rsidRPr="004736A0">
                    <w:rPr>
                      <w:rFonts w:ascii="Tahoma" w:eastAsia="Times New Roman" w:hAnsi="Tahoma" w:cs="Tahoma"/>
                      <w:color w:val="444444"/>
                      <w:sz w:val="18"/>
                      <w:szCs w:val="18"/>
                    </w:rPr>
                    <w:lastRenderedPageBreak/>
                    <w:t>ir raštu, jei jos nėra ilgos ir nuobodžios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Teisingai atlieka nedidelės apimties užduotis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•Gerai ir nuosekliai atlieka užduotis, jei dirba pagal sudarytą planą ar pavyzdį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•Nekantrūs, impulsyvūs, išsiblaškę, negali ilgesnį laiką ramiai išsėdėti suole</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•Sunku be klaidų nusirašyti uždavinio sąlygą iš vadovėlio ar nuo lentos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•Sunkiai pastebi detales, dėsningumus •Skaičiuodami mintyse, pameta tarpinius veiksmus, supainioja skaičius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•Klysta atlikdami aritmetinius veiksmus, nes sprendimo eigoje pakeičia ženklus ar pameta, praleidţia skaičius, spręsdami daugiaveiksmius uždavinius praleidžia kai kurias operacijas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•Sunkiai pasitikrina, pastebi klaidas, net jei ir žino, kad jų yra</w:t>
                  </w:r>
                </w:p>
              </w:tc>
              <w:tc>
                <w:tcPr>
                  <w:tcW w:w="4260" w:type="dxa"/>
                  <w:tcBorders>
                    <w:top w:val="outset" w:sz="6" w:space="0" w:color="auto"/>
                    <w:left w:val="outset" w:sz="6" w:space="0" w:color="auto"/>
                    <w:bottom w:val="outset" w:sz="6" w:space="0" w:color="auto"/>
                    <w:right w:val="outset" w:sz="6" w:space="0" w:color="auto"/>
                  </w:tcBorders>
                  <w:hideMark/>
                </w:tcPr>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 xml:space="preserve">•Parinkite mokiniui tinkamą sėdėjimo vietą, </w:t>
                  </w:r>
                  <w:r w:rsidRPr="004736A0">
                    <w:rPr>
                      <w:rFonts w:ascii="Tahoma" w:eastAsia="Times New Roman" w:hAnsi="Tahoma" w:cs="Tahoma"/>
                      <w:color w:val="444444"/>
                      <w:sz w:val="18"/>
                      <w:szCs w:val="18"/>
                    </w:rPr>
                    <w:lastRenderedPageBreak/>
                    <w:t>sumažinkite aplinkos dirgiklių poveikį, ribokite būtinų mokymosi priemonių kiekį (palikite tik pačias būtiniausias)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•Stenkitės dažnai matyti mokinį, stebėkite jo dėmesingumą, padėkite jam „grįžti prie užduoties (palieskite petį ar kitaip priminkite apie atliekamus darbus) •Padėkite moksleiviui pradėti kiekvieną užduotį, pateikite veiksmų planą, sprendimo pavyzdį ar eigos etapus, numatykite laiką užduočiai atlikti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•Leiskite moksleiviui dirbti jam priimtinu tempu bei skirkite pakankamai laiko tarp vienos ir kitos veiklos, kad moksleivis spėtų pasiruošti</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•Mažinkite mechaniškai atliekamų užduočių kiekį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•Užduotis pateikite etapais, išradingai, įdomiai ir naudokite tarpinį atsiskaitymą atlikus užduotį</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•Kaitaliokite monotoniškas užduotis (skaičiavimo pratimai ir kt.) su praktinėmis (schemų, diagramų sudarymas), žaidybinėmis (galvosūkiai, labirintai ir pan.)</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•Sudarykite sąlygas moksleiviui pamokos eigoje fiziškai pajudėti (surinkti sąsiuvinius, nuvalyti lentą ir pan.) •Skatinkite klausti, pasitikslinti, pasitikrinti, jei neaišku</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•Mokykite susidaryti veiklos planą, numatyti ir pasižymėti darbo etapus,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leiskite jais naudotis</w:t>
                  </w:r>
                </w:p>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t> </w:t>
                  </w:r>
                </w:p>
              </w:tc>
            </w:tr>
          </w:tbl>
          <w:p w:rsidR="004736A0" w:rsidRPr="004736A0" w:rsidRDefault="004736A0" w:rsidP="004736A0">
            <w:pPr>
              <w:spacing w:after="75" w:line="312" w:lineRule="atLeast"/>
              <w:jc w:val="both"/>
              <w:rPr>
                <w:rFonts w:ascii="Tahoma" w:eastAsia="Times New Roman" w:hAnsi="Tahoma" w:cs="Tahoma"/>
                <w:color w:val="444444"/>
                <w:sz w:val="18"/>
                <w:szCs w:val="18"/>
              </w:rPr>
            </w:pPr>
            <w:r w:rsidRPr="004736A0">
              <w:rPr>
                <w:rFonts w:ascii="Tahoma" w:eastAsia="Times New Roman" w:hAnsi="Tahoma" w:cs="Tahoma"/>
                <w:color w:val="444444"/>
                <w:sz w:val="18"/>
                <w:szCs w:val="18"/>
              </w:rPr>
              <w:lastRenderedPageBreak/>
              <w:t>Šaltinis: R.Kibildienė  „Specialiųjų ugdymo (-si) poreikių mokinių matematikos mokymo ypatumai” , 2009 metai Vilnius</w:t>
            </w:r>
          </w:p>
        </w:tc>
      </w:tr>
      <w:tr w:rsidR="004736A0" w:rsidRPr="004736A0" w:rsidTr="004736A0">
        <w:trPr>
          <w:trHeight w:val="300"/>
          <w:tblCellSpacing w:w="15" w:type="dxa"/>
        </w:trPr>
        <w:tc>
          <w:tcPr>
            <w:tcW w:w="0" w:type="auto"/>
            <w:vAlign w:val="bottom"/>
            <w:hideMark/>
          </w:tcPr>
          <w:p w:rsidR="004736A0" w:rsidRPr="004736A0" w:rsidRDefault="004736A0" w:rsidP="004736A0">
            <w:pPr>
              <w:spacing w:after="0" w:line="312" w:lineRule="atLeast"/>
              <w:jc w:val="right"/>
              <w:rPr>
                <w:rFonts w:ascii="Tahoma" w:eastAsia="Times New Roman" w:hAnsi="Tahoma" w:cs="Tahoma"/>
                <w:color w:val="C0C0C0"/>
                <w:sz w:val="15"/>
                <w:szCs w:val="15"/>
              </w:rPr>
            </w:pPr>
          </w:p>
        </w:tc>
      </w:tr>
    </w:tbl>
    <w:p w:rsidR="00242BDF" w:rsidRDefault="00242BDF"/>
    <w:sectPr w:rsidR="00242BDF" w:rsidSect="00242B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rsids>
    <w:rsidRoot w:val="004736A0"/>
    <w:rsid w:val="00242BDF"/>
    <w:rsid w:val="004736A0"/>
    <w:rsid w:val="00AA647C"/>
    <w:rsid w:val="00B365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2BD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736A0"/>
    <w:pPr>
      <w:spacing w:after="75" w:line="240" w:lineRule="auto"/>
      <w:jc w:val="both"/>
    </w:pPr>
    <w:rPr>
      <w:rFonts w:ascii="Times New Roman" w:eastAsia="Times New Roman" w:hAnsi="Times New Roman" w:cs="Times New Roman"/>
      <w:sz w:val="24"/>
      <w:szCs w:val="24"/>
    </w:rPr>
  </w:style>
  <w:style w:type="character" w:styleId="Grietas">
    <w:name w:val="Strong"/>
    <w:basedOn w:val="Numatytasispastraiposriftas"/>
    <w:uiPriority w:val="22"/>
    <w:qFormat/>
    <w:rsid w:val="004736A0"/>
    <w:rPr>
      <w:b/>
      <w:bCs/>
    </w:rPr>
  </w:style>
  <w:style w:type="paragraph" w:styleId="Debesliotekstas">
    <w:name w:val="Balloon Text"/>
    <w:basedOn w:val="prastasis"/>
    <w:link w:val="DebesliotekstasDiagrama"/>
    <w:uiPriority w:val="99"/>
    <w:semiHidden/>
    <w:unhideWhenUsed/>
    <w:rsid w:val="004736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3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0734">
      <w:bodyDiv w:val="1"/>
      <w:marLeft w:val="0"/>
      <w:marRight w:val="0"/>
      <w:marTop w:val="0"/>
      <w:marBottom w:val="0"/>
      <w:divBdr>
        <w:top w:val="none" w:sz="0" w:space="0" w:color="auto"/>
        <w:left w:val="none" w:sz="0" w:space="0" w:color="auto"/>
        <w:bottom w:val="none" w:sz="0" w:space="0" w:color="auto"/>
        <w:right w:val="none" w:sz="0" w:space="0" w:color="auto"/>
      </w:divBdr>
      <w:divsChild>
        <w:div w:id="1605763616">
          <w:marLeft w:val="0"/>
          <w:marRight w:val="0"/>
          <w:marTop w:val="600"/>
          <w:marBottom w:val="0"/>
          <w:divBdr>
            <w:top w:val="none" w:sz="0" w:space="0" w:color="auto"/>
            <w:left w:val="none" w:sz="0" w:space="0" w:color="auto"/>
            <w:bottom w:val="none" w:sz="0" w:space="0" w:color="auto"/>
            <w:right w:val="none" w:sz="0" w:space="0" w:color="auto"/>
          </w:divBdr>
          <w:divsChild>
            <w:div w:id="1184975456">
              <w:marLeft w:val="0"/>
              <w:marRight w:val="0"/>
              <w:marTop w:val="0"/>
              <w:marBottom w:val="0"/>
              <w:divBdr>
                <w:top w:val="none" w:sz="0" w:space="0" w:color="auto"/>
                <w:left w:val="none" w:sz="0" w:space="0" w:color="auto"/>
                <w:bottom w:val="none" w:sz="0" w:space="0" w:color="auto"/>
                <w:right w:val="none" w:sz="0" w:space="0" w:color="auto"/>
              </w:divBdr>
              <w:divsChild>
                <w:div w:id="207182319">
                  <w:marLeft w:val="0"/>
                  <w:marRight w:val="0"/>
                  <w:marTop w:val="0"/>
                  <w:marBottom w:val="0"/>
                  <w:divBdr>
                    <w:top w:val="none" w:sz="0" w:space="0" w:color="auto"/>
                    <w:left w:val="none" w:sz="0" w:space="0" w:color="auto"/>
                    <w:bottom w:val="none" w:sz="0" w:space="0" w:color="auto"/>
                    <w:right w:val="none" w:sz="0" w:space="0" w:color="auto"/>
                  </w:divBdr>
                  <w:divsChild>
                    <w:div w:id="2035567518">
                      <w:marLeft w:val="0"/>
                      <w:marRight w:val="0"/>
                      <w:marTop w:val="0"/>
                      <w:marBottom w:val="90"/>
                      <w:divBdr>
                        <w:top w:val="none" w:sz="0" w:space="0" w:color="auto"/>
                        <w:left w:val="none" w:sz="0" w:space="0" w:color="auto"/>
                        <w:bottom w:val="none" w:sz="0" w:space="0" w:color="auto"/>
                        <w:right w:val="none" w:sz="0" w:space="0" w:color="auto"/>
                      </w:divBdr>
                      <w:divsChild>
                        <w:div w:id="16219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pt.lt/patarimai/29-matematikos-negali-poymiai-rekomenduojami-darbo-bdai-ir-metodai.html?tmpl=component&amp;print=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5629</Words>
  <Characters>3210</Characters>
  <Application>Microsoft Office Word</Application>
  <DocSecurity>0</DocSecurity>
  <Lines>26</Lines>
  <Paragraphs>17</Paragraphs>
  <ScaleCrop>false</ScaleCrop>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„Windows“ vartotojas</cp:lastModifiedBy>
  <cp:revision>2</cp:revision>
  <dcterms:created xsi:type="dcterms:W3CDTF">2018-12-06T06:19:00Z</dcterms:created>
  <dcterms:modified xsi:type="dcterms:W3CDTF">2018-12-06T06:19:00Z</dcterms:modified>
</cp:coreProperties>
</file>